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left="643" w:hanging="643" w:hangingChars="200"/>
        <w:jc w:val="both"/>
      </w:pPr>
      <w:r>
        <w:rPr>
          <w:rFonts w:hint="eastAsia" w:asciiTheme="minorEastAsia" w:hAnsiTheme="minorEastAsia" w:eastAsiaTheme="minorEastAsia" w:cstheme="minorEastAsia"/>
          <w:b/>
          <w:bCs/>
          <w:sz w:val="32"/>
          <w:szCs w:val="32"/>
        </w:rPr>
        <w:t>路灯电费及配电系统维修；古城墙亮化、九曲亮化、长城关亮化、解放公园亮化等电费</w:t>
      </w:r>
      <w:r>
        <w:rPr>
          <w:rFonts w:hint="eastAsia" w:asciiTheme="minorEastAsia" w:hAnsiTheme="minorEastAsia" w:eastAsiaTheme="minorEastAsia" w:cstheme="minorEastAsia"/>
          <w:b/>
          <w:bCs/>
          <w:sz w:val="32"/>
          <w:szCs w:val="32"/>
          <w:lang w:val="en-US" w:eastAsia="zh-CN"/>
        </w:rPr>
        <w:t>2020年</w:t>
      </w:r>
      <w:r>
        <w:rPr>
          <w:rFonts w:asciiTheme="minorEastAsia" w:hAnsiTheme="minorEastAsia" w:eastAsiaTheme="minorEastAsia" w:cstheme="minorEastAsia"/>
          <w:b/>
          <w:bCs/>
          <w:sz w:val="32"/>
          <w:szCs w:val="32"/>
        </w:rPr>
        <w:t>绩效自评报告</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一、绩效目标批复下达情况</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（一）年初批复下达路灯电费及配电系统维修；古城墙亮化、九曲亮化、长城关亮化、解放公园亮化等电费资金预算和绩效目标情况。</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2020年下达我局路灯电费及配电系统维修；古城墙亮化、九曲亮化、长城关亮化、解放公园亮化等电费共470万元。主要绩效目标：古城墙亮化（北段贯通）、长城关亮化、解放公园亮化等电费。</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（二）年度中由县级资金安排下达路灯电费及配电系统维修；古城墙亮化、九曲亮化、长城关亮化、解放公园亮化等电费资金预算和绩效目标情况。</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根据《关于批复2020年部门预算的通知》（盐财（预）指标〔2020〕1号）文件要求，路灯电费及配电系统维修；古城墙亮化、九曲亮化、长城关亮化、解放公园亮化等电费资金预算安排470万元，全部为财政拨款，路灯电费及配电系统维修；古城墙亮化、九曲亮化、长城关亮化、解放公园亮化等电费2020年资金已全部到位。</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二、绩效目标完成情况分析</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（一）资金投入情况分析</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1.项目资金到位情况分析</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路灯电费及配电系统维修；古城墙亮化、九曲亮化、长城关亮化、解放公园亮化等电费资金470万元，到位资金470万元，资金到位率100%。</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2.项目资金执行情况分析</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2020年路灯电费及配电系统维修；古城墙亮化、九曲亮化、长城关亮化、解放公园亮化等电费项目预算资金已全部安排，并按项目建设要求和进度全部落实到位。2020</w:t>
      </w:r>
      <w:r>
        <w:rPr>
          <w:rFonts w:hint="eastAsia" w:asciiTheme="minorEastAsia" w:hAnsiTheme="minorEastAsia" w:eastAsiaTheme="minorEastAsia" w:cstheme="minorEastAsia"/>
          <w:sz w:val="28"/>
          <w:szCs w:val="28"/>
          <w:lang w:eastAsia="zh-CN"/>
        </w:rPr>
        <w:t>年</w:t>
      </w:r>
      <w:r>
        <w:rPr>
          <w:rFonts w:hint="eastAsia" w:asciiTheme="minorEastAsia" w:hAnsiTheme="minorEastAsia" w:eastAsiaTheme="minorEastAsia" w:cstheme="minorEastAsia"/>
          <w:sz w:val="28"/>
          <w:szCs w:val="28"/>
        </w:rPr>
        <w:t>实际总支出为470万元，资金执行率100%。</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3.项目资金管理情况分析</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路灯电费及配电系统维修；古城墙亮化、九曲亮化、长城关亮化、解放公园亮化等电费项目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绩效目标完成情况分析</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1.产出指标完成情况分析</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（1）项目完成数量：县城区域内道路路灯数量共3268杆路灯，亮灯率达到98%。</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（2）项目完成质量：完成了古城墙、长城关及解放公园路灯电费、路灯维修费、变电箱和配电箱维修及各处亮化等,</w:t>
      </w:r>
      <w:r>
        <w:rPr>
          <w:rFonts w:hint="eastAsia"/>
          <w:sz w:val="28"/>
          <w:szCs w:val="28"/>
        </w:rPr>
        <w:t xml:space="preserve"> </w:t>
      </w:r>
      <w:r>
        <w:rPr>
          <w:rFonts w:hint="eastAsia" w:asciiTheme="minorEastAsia" w:hAnsiTheme="minorEastAsia" w:eastAsiaTheme="minorEastAsia" w:cstheme="minorEastAsia"/>
          <w:sz w:val="28"/>
          <w:szCs w:val="28"/>
        </w:rPr>
        <w:t>道路路灯亮灯率达到98%。</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（3）项目实施进度：项目单位按照2020年度绩效目标制定了项目工作计划，并按照工作计划开展了城市照明亮化及维修工作。评价认为，该项目各项工程安排较合理，按照计划进度执行较及时。</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项目成本节约情况：根据年度预算计划，分解并制定了相应的月度预算使用计划，严格落实年470万。截止目前为止，上年路灯电费及配电系统维修；古城墙亮化、九曲亮化、长城关亮化、解放公园亮化等电费资金无结余，执行状况良好。</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2.效益指标完成情况分析</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（1）项目实施的经</w:t>
      </w:r>
      <w:bookmarkStart w:id="0" w:name="_GoBack"/>
      <w:bookmarkEnd w:id="0"/>
      <w:r>
        <w:rPr>
          <w:rFonts w:hint="eastAsia" w:asciiTheme="minorEastAsia" w:hAnsiTheme="minorEastAsia" w:eastAsiaTheme="minorEastAsia" w:cstheme="minorEastAsia"/>
          <w:sz w:val="28"/>
          <w:szCs w:val="28"/>
        </w:rPr>
        <w:t>济效益：旅游接待人数、旅游收入仍然呈现不断上涨趋势。景观照明总投入是旅游接待人数、旅游收入增长的原因，景观照明总投入更是旅游产业增加值、旅游者在县人均消费支出、星级酒店客房平均出租率的原因。表明路灯维修使得景观亮化，可以美化城市、增加城市吸引力。</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项目实施的社会效益：逐步提高县城区路灯照明覆盖度，保障居民夜间出行安全，保障城市亮化维护工作正常进行。路灯维修使得古城墙、长城关、解放公园面貌焕然一新，长城关也修建了跑道，越来越多的人愿意到外面散步，经常看到老人孩子其乐融融的景象，提高了居民生活水平，营造了一个安居乐业的生活条件。</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项目实施的生态效益：近年来，随着我县经济改革的深入发展，城市整体形象工程建设也受到各级政府的重视。它的好坏将直接影响其城市自身经济的发展进程。城市亮化作为形象工程的重要组成部分越来越被政府所重视，大量的资金投入进行建设和改造，使得我们的城市夜景变得灯火辉煌，绚丽多彩，将大幅度改善居住区的生态环境。</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项目实施的可持续影响：路灯在人们的日常生活中发挥着重要的作用，而且还关系着城市整体美观性。它是现代城市基础服务体系的重要组成部分。它既可以保障县城区道路路灯及公园景观亮化全年持续照明，又可以保障县城区居民夜间出行安全。</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3.满意度指标完成情况分析</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自2020年以来，我单位对全部项目实施和整体社会效益及满意度等各项指标调查，基本情况是群众对项目实施满意度达90%。项目社会效益和经济效益明显，达到了预期效果。</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三、偏离绩效目标的原因和下一步改进措施</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路灯电费及配电系统维修；古城墙亮化、九曲亮化、长城关亮化、解放公园亮化等电费2020年度目标全部完成实施，均达到了绩效目标。</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路灯间歇性熄灭。路灯灯泡中含有较多的钠物质，这种钠物质是路灯照明功能正常发挥的关键而随着路灯使用时间的延长，这种钠物质会逐渐减少，从而使电压升高，路灯就会出现间性熄灭状况，此时就需要更换新的路灯灯泡，并保证钠物质的充足。除此之外，如果间歇性熄灭问题是因为电容器容量变小而引起的话，则需要细致检查电容器，必要时进行更换;如果因为照明环境温度过高引起的，则要做好通风热工作。</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四、绩效自评结果拟应用和公开情况</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（一）自评结果。绩效评价中，经过对评价资料、财务资料和统计数据的认真分析和核查，路灯电费及配电系统维修；古城墙亮化、九曲亮化、长城关亮化、解放公园亮化等电费2020年度绩效自评指标得分93分。</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对评价结果应用和公开情况。通过我县2020路灯电费及配电系统维修；古城墙亮化、九曲亮化、长城关亮化、解放公园亮化等电费项目主管部门将对绩效自评结果进行抽查，将绩效自评结果与下一年度项目预算联系，作为以后年度项目立项和经费支持的重要依据。</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（三）项目主管部门将按照财政部门的统一要求，对绩效评价情况予以公开。 </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五、其他需要说明的问题</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无</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1"/>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4D2AA7"/>
    <w:rsid w:val="003A3F7D"/>
    <w:rsid w:val="004D2AA7"/>
    <w:rsid w:val="007C0870"/>
    <w:rsid w:val="007D327B"/>
    <w:rsid w:val="00A662E7"/>
    <w:rsid w:val="00C774AB"/>
    <w:rsid w:val="00CF026E"/>
    <w:rsid w:val="00EF6745"/>
    <w:rsid w:val="01476709"/>
    <w:rsid w:val="014F2DB1"/>
    <w:rsid w:val="01D409E1"/>
    <w:rsid w:val="01DD0C0E"/>
    <w:rsid w:val="03936D70"/>
    <w:rsid w:val="072C6FDB"/>
    <w:rsid w:val="09723454"/>
    <w:rsid w:val="0A8C2CA0"/>
    <w:rsid w:val="0E0E4356"/>
    <w:rsid w:val="0FEB48FF"/>
    <w:rsid w:val="102E6CDC"/>
    <w:rsid w:val="143160E7"/>
    <w:rsid w:val="14C4499C"/>
    <w:rsid w:val="14EF42C1"/>
    <w:rsid w:val="153430C0"/>
    <w:rsid w:val="16E54694"/>
    <w:rsid w:val="16F76538"/>
    <w:rsid w:val="17CF40C9"/>
    <w:rsid w:val="192F40E7"/>
    <w:rsid w:val="1B086F9E"/>
    <w:rsid w:val="1B965EE2"/>
    <w:rsid w:val="1C612191"/>
    <w:rsid w:val="1CE76BFD"/>
    <w:rsid w:val="1DF25307"/>
    <w:rsid w:val="1E4E7908"/>
    <w:rsid w:val="1E7F1D31"/>
    <w:rsid w:val="1EAD6EE0"/>
    <w:rsid w:val="1F890B97"/>
    <w:rsid w:val="227D3758"/>
    <w:rsid w:val="22C2273E"/>
    <w:rsid w:val="2305559E"/>
    <w:rsid w:val="233C75D4"/>
    <w:rsid w:val="234F7672"/>
    <w:rsid w:val="246B0D04"/>
    <w:rsid w:val="24BF4EBC"/>
    <w:rsid w:val="25940A85"/>
    <w:rsid w:val="2899392F"/>
    <w:rsid w:val="2BC35ABE"/>
    <w:rsid w:val="2C356EA4"/>
    <w:rsid w:val="2D5A5E4A"/>
    <w:rsid w:val="30C433B4"/>
    <w:rsid w:val="30D473D6"/>
    <w:rsid w:val="317C03DA"/>
    <w:rsid w:val="324003E3"/>
    <w:rsid w:val="329A0EE5"/>
    <w:rsid w:val="329B6B7E"/>
    <w:rsid w:val="33BA12DA"/>
    <w:rsid w:val="34BD6234"/>
    <w:rsid w:val="38856122"/>
    <w:rsid w:val="389F61F0"/>
    <w:rsid w:val="3A571945"/>
    <w:rsid w:val="3C150741"/>
    <w:rsid w:val="3C686E8F"/>
    <w:rsid w:val="3D7F0A50"/>
    <w:rsid w:val="3ED3583D"/>
    <w:rsid w:val="40C275C9"/>
    <w:rsid w:val="444B087F"/>
    <w:rsid w:val="44A83F9D"/>
    <w:rsid w:val="4B123432"/>
    <w:rsid w:val="4C580BE1"/>
    <w:rsid w:val="4E0114A6"/>
    <w:rsid w:val="4E772EBB"/>
    <w:rsid w:val="4F025ADA"/>
    <w:rsid w:val="4FA60C94"/>
    <w:rsid w:val="4FB10340"/>
    <w:rsid w:val="4FFB1A68"/>
    <w:rsid w:val="56E228E8"/>
    <w:rsid w:val="5756505F"/>
    <w:rsid w:val="5A142F27"/>
    <w:rsid w:val="5BD84484"/>
    <w:rsid w:val="5D155B3E"/>
    <w:rsid w:val="5F625847"/>
    <w:rsid w:val="62C6352E"/>
    <w:rsid w:val="632E1656"/>
    <w:rsid w:val="633F2218"/>
    <w:rsid w:val="63611007"/>
    <w:rsid w:val="64E67555"/>
    <w:rsid w:val="671F7E18"/>
    <w:rsid w:val="6B60424A"/>
    <w:rsid w:val="6D9A67DE"/>
    <w:rsid w:val="6EDE7AA7"/>
    <w:rsid w:val="6EDF14F8"/>
    <w:rsid w:val="70567368"/>
    <w:rsid w:val="70B401A1"/>
    <w:rsid w:val="713D3C53"/>
    <w:rsid w:val="724F78F2"/>
    <w:rsid w:val="76515F59"/>
    <w:rsid w:val="765F3C2F"/>
    <w:rsid w:val="76936052"/>
    <w:rsid w:val="77346D73"/>
    <w:rsid w:val="792F515C"/>
    <w:rsid w:val="79DD2C0A"/>
    <w:rsid w:val="7CE85E54"/>
    <w:rsid w:val="7D3743FD"/>
    <w:rsid w:val="7F7B34B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99"/>
    <w:pPr>
      <w:spacing w:beforeLines="50" w:after="60"/>
      <w:ind w:firstLine="200" w:firstLineChars="200"/>
      <w:jc w:val="center"/>
      <w:outlineLvl w:val="0"/>
    </w:pPr>
    <w:rPr>
      <w:rFonts w:ascii="Cambria" w:hAnsi="Cambria"/>
      <w:b/>
      <w:bCs/>
      <w:sz w:val="32"/>
      <w:szCs w:val="3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semiHidden/>
    <w:unhideWhenUsed/>
    <w:qFormat/>
    <w:uiPriority w:val="99"/>
    <w:pPr>
      <w:spacing w:beforeAutospacing="1" w:afterAutospacing="1"/>
      <w:jc w:val="left"/>
    </w:pPr>
    <w:rPr>
      <w:kern w:val="0"/>
      <w:sz w:val="24"/>
    </w:rPr>
  </w:style>
  <w:style w:type="character" w:styleId="8">
    <w:name w:val="Strong"/>
    <w:basedOn w:val="7"/>
    <w:qFormat/>
    <w:uiPriority w:val="0"/>
    <w:rPr>
      <w:b/>
    </w:rPr>
  </w:style>
  <w:style w:type="character" w:styleId="9">
    <w:name w:val="FollowedHyperlink"/>
    <w:basedOn w:val="7"/>
    <w:qFormat/>
    <w:uiPriority w:val="0"/>
    <w:rPr>
      <w:color w:val="333333"/>
      <w:u w:val="none"/>
    </w:rPr>
  </w:style>
  <w:style w:type="character" w:styleId="10">
    <w:name w:val="Hyperlink"/>
    <w:basedOn w:val="7"/>
    <w:qFormat/>
    <w:uiPriority w:val="0"/>
    <w:rPr>
      <w:color w:val="333333"/>
      <w:u w:val="none"/>
    </w:rPr>
  </w:style>
  <w:style w:type="paragraph" w:customStyle="1" w:styleId="11">
    <w:name w:val="报告正文"/>
    <w:basedOn w:val="1"/>
    <w:qFormat/>
    <w:uiPriority w:val="0"/>
    <w:pPr>
      <w:ind w:firstLine="200" w:firstLineChars="200"/>
    </w:pPr>
    <w:rPr>
      <w:rFonts w:ascii="Times New Roman" w:hAnsi="Times New Roman"/>
      <w:kern w:val="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196E52-7F1E-456C-B4EC-FCF6EF61ACE5}">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308</Words>
  <Characters>1762</Characters>
  <Lines>14</Lines>
  <Paragraphs>4</Paragraphs>
  <TotalTime>1</TotalTime>
  <ScaleCrop>false</ScaleCrop>
  <LinksUpToDate>false</LinksUpToDate>
  <CharactersWithSpaces>2066</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A温</cp:lastModifiedBy>
  <cp:lastPrinted>2020-07-17T01:52:00Z</cp:lastPrinted>
  <dcterms:modified xsi:type="dcterms:W3CDTF">2021-03-30T03:32:09Z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69A8AEDA84D1451EAD624A6DC01AEB4B</vt:lpwstr>
  </property>
</Properties>
</file>